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F92C2" w14:textId="71BA5112" w:rsidR="001E382F" w:rsidRDefault="001E382F" w:rsidP="001E382F">
      <w:pPr>
        <w:rPr>
          <w:noProof/>
        </w:rPr>
      </w:pPr>
      <w:r>
        <w:rPr>
          <w:noProof/>
        </w:rPr>
        <w:drawing>
          <wp:inline distT="0" distB="0" distL="0" distR="0" wp14:anchorId="0D871FA0" wp14:editId="53229BA8">
            <wp:extent cx="2286000" cy="17773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" t="22488" r="55904"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D500B7" wp14:editId="73B5E72C">
            <wp:extent cx="2305685" cy="18046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" t="23346" r="55663" b="15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6D8919CF" wp14:editId="0A1DA552">
            <wp:extent cx="2198370" cy="17887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" t="23775" r="55542" b="15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</w:t>
      </w:r>
      <w:r>
        <w:rPr>
          <w:noProof/>
        </w:rPr>
        <w:drawing>
          <wp:inline distT="0" distB="0" distL="0" distR="0" wp14:anchorId="3FB01648" wp14:editId="0EA894A1">
            <wp:extent cx="2266315" cy="1745615"/>
            <wp:effectExtent l="0" t="0" r="63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" t="23560" r="55180"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DFC77" w14:textId="77777777" w:rsidR="001E382F" w:rsidRDefault="001E382F" w:rsidP="001E382F">
      <w:pPr>
        <w:rPr>
          <w:rFonts w:ascii="Times New Roman" w:hAnsi="Times New Roman" w:hint="eastAsia"/>
        </w:rPr>
      </w:pPr>
      <w:r>
        <w:rPr>
          <w:rFonts w:ascii="Times New Roman" w:hAnsi="Times New Roman"/>
          <w:b/>
          <w:bCs/>
        </w:rPr>
        <w:t>Fig .S1</w:t>
      </w:r>
      <w:r>
        <w:rPr>
          <w:rFonts w:hint="eastAsia"/>
          <w:noProof/>
        </w:rPr>
        <w:t xml:space="preserve"> </w:t>
      </w:r>
      <w:r>
        <w:rPr>
          <w:rFonts w:ascii="Times New Roman" w:hAnsi="Times New Roman"/>
        </w:rPr>
        <w:t>Rarefaction analysis for four communities.</w:t>
      </w:r>
    </w:p>
    <w:p w14:paraId="358B087E" w14:textId="77777777" w:rsidR="001E382F" w:rsidRDefault="001E382F" w:rsidP="001E382F">
      <w:pPr>
        <w:rPr>
          <w:rFonts w:ascii="Times New Roman" w:hAnsi="Times New Roman"/>
        </w:rPr>
      </w:pPr>
    </w:p>
    <w:p w14:paraId="31D1AA82" w14:textId="7D08A699" w:rsidR="001E382F" w:rsidRDefault="001E382F" w:rsidP="001E382F">
      <w:r>
        <w:rPr>
          <w:noProof/>
        </w:rPr>
        <w:lastRenderedPageBreak/>
        <w:drawing>
          <wp:inline distT="0" distB="0" distL="0" distR="0" wp14:anchorId="61539A33" wp14:editId="364480A9">
            <wp:extent cx="5274310" cy="62522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03CF" w14:textId="77777777" w:rsidR="001E382F" w:rsidRDefault="001E382F" w:rsidP="001E382F">
      <w:pPr>
        <w:rPr>
          <w:rFonts w:ascii="Times New Roman" w:eastAsia="Calibri" w:hAnsi="Times New Roman" w:cs="Times New Roman" w:hint="eastAsia"/>
        </w:rPr>
      </w:pPr>
      <w:r>
        <w:rPr>
          <w:rFonts w:ascii="Times New Roman" w:hAnsi="Times New Roman" w:cs="Times New Roman"/>
          <w:b/>
          <w:bCs/>
        </w:rPr>
        <w:t>Fig. S2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>Phylogenetic analysis based on the partial amino acid sequences of GH1B β-glucosidase genes selected from representative sequences used to design qPCR primers and their relationship with the reference sequences retrieved from Genbank. The tree was constructed using the neighbor-joining method.</w:t>
      </w:r>
    </w:p>
    <w:p w14:paraId="7DA9FA15" w14:textId="77777777" w:rsidR="001E382F" w:rsidRDefault="001E382F" w:rsidP="001E382F"/>
    <w:p w14:paraId="3699CA1A" w14:textId="77777777" w:rsidR="00F361BD" w:rsidRDefault="00F361BD">
      <w:bookmarkStart w:id="0" w:name="_GoBack"/>
      <w:bookmarkEnd w:id="0"/>
    </w:p>
    <w:sectPr w:rsidR="00F36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C8"/>
    <w:rsid w:val="001E382F"/>
    <w:rsid w:val="00EA08C8"/>
    <w:rsid w:val="00F3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F6383-715B-45F2-8267-197DD531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欣悦</dc:creator>
  <cp:keywords/>
  <dc:description/>
  <cp:lastModifiedBy>张 欣悦</cp:lastModifiedBy>
  <cp:revision>2</cp:revision>
  <dcterms:created xsi:type="dcterms:W3CDTF">2020-02-01T11:55:00Z</dcterms:created>
  <dcterms:modified xsi:type="dcterms:W3CDTF">2020-02-01T11:56:00Z</dcterms:modified>
</cp:coreProperties>
</file>